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236D7" w14:textId="73B2521B" w:rsidR="00056D25" w:rsidRPr="008D725A" w:rsidRDefault="00C536AF" w:rsidP="008D7D41">
      <w:pPr>
        <w:pStyle w:val="a8"/>
        <w:ind w:left="0"/>
        <w:rPr>
          <w:rStyle w:val="a7"/>
          <w:i w:val="0"/>
          <w:iCs w:val="0"/>
          <w:u w:val="single"/>
        </w:rPr>
      </w:pPr>
      <w:r w:rsidRPr="008D725A">
        <w:rPr>
          <w:rStyle w:val="a7"/>
          <w:rFonts w:hint="cs"/>
          <w:i w:val="0"/>
          <w:iCs w:val="0"/>
          <w:u w:val="single"/>
          <w:rtl/>
        </w:rPr>
        <w:t>רשימת קריאה לקורס פסיכופתולוגיה</w:t>
      </w:r>
      <w:r w:rsidR="0056433F">
        <w:rPr>
          <w:rStyle w:val="a7"/>
          <w:rFonts w:hint="cs"/>
          <w:i w:val="0"/>
          <w:iCs w:val="0"/>
          <w:u w:val="single"/>
          <w:rtl/>
        </w:rPr>
        <w:t xml:space="preserve"> </w:t>
      </w:r>
    </w:p>
    <w:p w14:paraId="7F8EB004" w14:textId="77777777" w:rsidR="009E7410" w:rsidRDefault="009E7410" w:rsidP="009E7410">
      <w:pPr>
        <w:pStyle w:val="a8"/>
        <w:ind w:left="0"/>
        <w:jc w:val="left"/>
        <w:rPr>
          <w:rStyle w:val="a7"/>
          <w:b w:val="0"/>
          <w:bCs w:val="0"/>
          <w:i w:val="0"/>
          <w:iCs w:val="0"/>
          <w:rtl/>
        </w:rPr>
      </w:pPr>
    </w:p>
    <w:p w14:paraId="20038875" w14:textId="77777777" w:rsidR="009E7410" w:rsidRDefault="00C536AF" w:rsidP="009E7410">
      <w:pPr>
        <w:pStyle w:val="a8"/>
        <w:ind w:left="0"/>
        <w:jc w:val="left"/>
        <w:rPr>
          <w:rStyle w:val="a7"/>
          <w:b w:val="0"/>
          <w:bCs w:val="0"/>
          <w:i w:val="0"/>
          <w:iCs w:val="0"/>
          <w:rtl/>
        </w:rPr>
      </w:pPr>
      <w:r w:rsidRPr="008D725A">
        <w:rPr>
          <w:rStyle w:val="a7"/>
          <w:rFonts w:hint="cs"/>
          <w:b w:val="0"/>
          <w:bCs w:val="0"/>
          <w:i w:val="0"/>
          <w:iCs w:val="0"/>
          <w:rtl/>
        </w:rPr>
        <w:t>ד"ר אפרת משנה שדך</w:t>
      </w:r>
    </w:p>
    <w:p w14:paraId="4296C5D9" w14:textId="77777777" w:rsidR="00C536AF" w:rsidRPr="008D725A" w:rsidRDefault="0078046D" w:rsidP="009E7410">
      <w:pPr>
        <w:pStyle w:val="a8"/>
        <w:ind w:left="0"/>
        <w:jc w:val="left"/>
        <w:rPr>
          <w:rStyle w:val="a7"/>
          <w:b w:val="0"/>
          <w:bCs w:val="0"/>
          <w:i w:val="0"/>
          <w:iCs w:val="0"/>
          <w:rtl/>
        </w:rPr>
      </w:pPr>
      <w:r>
        <w:rPr>
          <w:rStyle w:val="a7"/>
          <w:b w:val="0"/>
          <w:bCs w:val="0"/>
          <w:i w:val="0"/>
          <w:iCs w:val="0"/>
        </w:rPr>
        <w:t>efrat.shadach@gmail.com</w:t>
      </w:r>
    </w:p>
    <w:p w14:paraId="2D30EB67" w14:textId="77777777" w:rsidR="008D725A" w:rsidRDefault="00D331BD" w:rsidP="008D725A">
      <w:pPr>
        <w:jc w:val="center"/>
        <w:rPr>
          <w:rtl/>
        </w:rPr>
      </w:pPr>
      <w:r>
        <w:rPr>
          <w:rFonts w:hint="cs"/>
          <w:rtl/>
        </w:rPr>
        <w:t xml:space="preserve">  </w:t>
      </w:r>
    </w:p>
    <w:p w14:paraId="48C39287" w14:textId="77777777" w:rsidR="008D725A" w:rsidRDefault="008D725A" w:rsidP="008D725A">
      <w:pPr>
        <w:jc w:val="center"/>
        <w:rPr>
          <w:rtl/>
        </w:rPr>
      </w:pPr>
    </w:p>
    <w:p w14:paraId="11D92328" w14:textId="74C075B0" w:rsidR="00C536AF" w:rsidRDefault="000A157A" w:rsidP="00193A95">
      <w:pPr>
        <w:pStyle w:val="a3"/>
        <w:numPr>
          <w:ilvl w:val="0"/>
          <w:numId w:val="1"/>
        </w:numPr>
      </w:pPr>
      <w:r>
        <w:rPr>
          <w:rFonts w:hint="cs"/>
          <w:b/>
          <w:bCs/>
          <w:u w:val="single"/>
          <w:rtl/>
        </w:rPr>
        <w:t>מבוא</w:t>
      </w:r>
      <w:r w:rsidR="008B7448">
        <w:rPr>
          <w:rFonts w:hint="cs"/>
          <w:b/>
          <w:bCs/>
          <w:u w:val="single"/>
          <w:rtl/>
        </w:rPr>
        <w:t xml:space="preserve">: </w:t>
      </w:r>
      <w:r w:rsidR="00C536AF" w:rsidRPr="008B7448">
        <w:rPr>
          <w:rFonts w:hint="cs"/>
          <w:b/>
          <w:bCs/>
          <w:u w:val="single"/>
          <w:rtl/>
        </w:rPr>
        <w:t>נורמליות</w:t>
      </w:r>
      <w:r w:rsidR="002059D1">
        <w:rPr>
          <w:rFonts w:hint="cs"/>
          <w:b/>
          <w:bCs/>
          <w:u w:val="single"/>
          <w:rtl/>
        </w:rPr>
        <w:t xml:space="preserve"> ופסיכופתולוגיה מזווית פסיכואנליטית</w:t>
      </w:r>
      <w:r w:rsidR="00C536AF" w:rsidRPr="008B7448">
        <w:rPr>
          <w:rFonts w:hint="cs"/>
          <w:b/>
          <w:bCs/>
          <w:u w:val="single"/>
          <w:rtl/>
        </w:rPr>
        <w:t xml:space="preserve"> </w:t>
      </w:r>
    </w:p>
    <w:p w14:paraId="52266E67" w14:textId="77777777" w:rsidR="00C536AF" w:rsidRDefault="00C536AF" w:rsidP="0066197D">
      <w:pPr>
        <w:pStyle w:val="a3"/>
        <w:rPr>
          <w:rtl/>
        </w:rPr>
      </w:pPr>
      <w:r>
        <w:rPr>
          <w:rFonts w:hint="cs"/>
          <w:rtl/>
        </w:rPr>
        <w:t>בולאס, כ. (</w:t>
      </w:r>
      <w:r w:rsidR="008B7448">
        <w:rPr>
          <w:rFonts w:hint="cs"/>
          <w:rtl/>
        </w:rPr>
        <w:t>2010</w:t>
      </w:r>
      <w:r>
        <w:rPr>
          <w:rFonts w:hint="cs"/>
          <w:rtl/>
        </w:rPr>
        <w:t xml:space="preserve">). </w:t>
      </w:r>
      <w:r w:rsidR="00886CEC">
        <w:rPr>
          <w:rFonts w:hint="cs"/>
          <w:rtl/>
        </w:rPr>
        <w:t>חולי נורמוטי</w:t>
      </w:r>
      <w:r w:rsidR="00886CEC" w:rsidRPr="00886CEC">
        <w:rPr>
          <w:rFonts w:hint="cs"/>
          <w:rtl/>
        </w:rPr>
        <w:t xml:space="preserve">. מתוך:  </w:t>
      </w:r>
      <w:r w:rsidRPr="00D96588">
        <w:rPr>
          <w:rFonts w:hint="cs"/>
          <w:i/>
          <w:iCs/>
          <w:rtl/>
        </w:rPr>
        <w:t>המקראה של כריסטופר בולאס</w:t>
      </w:r>
      <w:r w:rsidR="008B7448">
        <w:rPr>
          <w:rFonts w:hint="cs"/>
          <w:rtl/>
        </w:rPr>
        <w:t>.</w:t>
      </w:r>
      <w:r>
        <w:rPr>
          <w:rFonts w:hint="cs"/>
          <w:rtl/>
        </w:rPr>
        <w:t xml:space="preserve"> הוצאת תולעת ספרים.</w:t>
      </w:r>
      <w:r w:rsidR="008B7448">
        <w:rPr>
          <w:rFonts w:hint="cs"/>
          <w:rtl/>
        </w:rPr>
        <w:t xml:space="preserve"> עמ' 75 </w:t>
      </w:r>
      <w:r w:rsidR="008B7448">
        <w:rPr>
          <w:rtl/>
        </w:rPr>
        <w:t>–</w:t>
      </w:r>
      <w:r w:rsidR="008B7448">
        <w:rPr>
          <w:rFonts w:hint="cs"/>
          <w:rtl/>
        </w:rPr>
        <w:t xml:space="preserve"> 94.</w:t>
      </w:r>
    </w:p>
    <w:p w14:paraId="27663A17" w14:textId="182A0887" w:rsidR="00193A95" w:rsidRDefault="00193A95" w:rsidP="00193A95">
      <w:pPr>
        <w:pStyle w:val="a3"/>
        <w:rPr>
          <w:rtl/>
        </w:rPr>
      </w:pPr>
      <w:r>
        <w:rPr>
          <w:rFonts w:hint="cs"/>
          <w:rtl/>
        </w:rPr>
        <w:t xml:space="preserve">וואלאס, ד.פ. </w:t>
      </w:r>
      <w:r w:rsidR="000A157A">
        <w:rPr>
          <w:rFonts w:hint="cs"/>
          <w:rtl/>
        </w:rPr>
        <w:t xml:space="preserve">(1997). </w:t>
      </w:r>
      <w:r w:rsidRPr="00193A95">
        <w:rPr>
          <w:rFonts w:hint="cs"/>
          <w:i/>
          <w:iCs/>
          <w:rtl/>
        </w:rPr>
        <w:t>משהו כיפי לכאורה שלא אחזור עליו לעולם</w:t>
      </w:r>
      <w:r>
        <w:rPr>
          <w:rFonts w:hint="cs"/>
          <w:rtl/>
        </w:rPr>
        <w:t xml:space="preserve">. ספרית פועלים. עמ' </w:t>
      </w:r>
      <w:r w:rsidR="004127AD">
        <w:rPr>
          <w:rFonts w:hint="cs"/>
          <w:rtl/>
        </w:rPr>
        <w:t xml:space="preserve">9-19, </w:t>
      </w:r>
      <w:r w:rsidR="00960673">
        <w:rPr>
          <w:rFonts w:hint="cs"/>
          <w:rtl/>
        </w:rPr>
        <w:t xml:space="preserve">57 </w:t>
      </w:r>
      <w:r w:rsidR="00960673">
        <w:rPr>
          <w:rtl/>
        </w:rPr>
        <w:t>–</w:t>
      </w:r>
      <w:r w:rsidR="00960673">
        <w:rPr>
          <w:rFonts w:hint="cs"/>
          <w:rtl/>
        </w:rPr>
        <w:t xml:space="preserve"> 63.</w:t>
      </w:r>
    </w:p>
    <w:p w14:paraId="17CF4193" w14:textId="77777777" w:rsidR="00AA7F29" w:rsidRDefault="00AA7F29" w:rsidP="00750629">
      <w:pPr>
        <w:pStyle w:val="a3"/>
        <w:rPr>
          <w:rtl/>
        </w:rPr>
      </w:pPr>
    </w:p>
    <w:p w14:paraId="0513673E" w14:textId="77777777" w:rsidR="00C536AF" w:rsidRDefault="00C536AF" w:rsidP="00C536AF">
      <w:pPr>
        <w:pStyle w:val="a3"/>
        <w:rPr>
          <w:rtl/>
        </w:rPr>
      </w:pPr>
    </w:p>
    <w:p w14:paraId="546C69E6" w14:textId="77777777" w:rsidR="006969CE" w:rsidRPr="000A157A" w:rsidRDefault="000A157A" w:rsidP="006969CE">
      <w:pPr>
        <w:pStyle w:val="a3"/>
        <w:numPr>
          <w:ilvl w:val="0"/>
          <w:numId w:val="1"/>
        </w:num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כאב נפשי והגנה</w:t>
      </w:r>
    </w:p>
    <w:p w14:paraId="5E27751E" w14:textId="77777777" w:rsidR="00AA033D" w:rsidRDefault="00AA033D" w:rsidP="00426C87">
      <w:pPr>
        <w:pStyle w:val="a3"/>
        <w:spacing w:after="0"/>
        <w:rPr>
          <w:rtl/>
        </w:rPr>
      </w:pPr>
      <w:r>
        <w:rPr>
          <w:rFonts w:hint="cs"/>
          <w:rtl/>
        </w:rPr>
        <w:t xml:space="preserve">שטיינר, ג'. (1993). </w:t>
      </w:r>
      <w:r w:rsidRPr="00AA033D">
        <w:rPr>
          <w:rFonts w:hint="cs"/>
          <w:i/>
          <w:iCs/>
          <w:rtl/>
        </w:rPr>
        <w:t>מסתורים נפשיים: ארגונים פתולוגיים במטופלים פסיכוטיים, נוירוטיים וגבוליים</w:t>
      </w:r>
      <w:r>
        <w:rPr>
          <w:rFonts w:hint="cs"/>
          <w:rtl/>
        </w:rPr>
        <w:t xml:space="preserve">. הוצאת תולעת ספרים. פרק 1, עמ' 29 </w:t>
      </w:r>
      <w:r>
        <w:rPr>
          <w:rtl/>
        </w:rPr>
        <w:t>–</w:t>
      </w:r>
      <w:r>
        <w:rPr>
          <w:rFonts w:hint="cs"/>
          <w:rtl/>
        </w:rPr>
        <w:t xml:space="preserve"> 44.</w:t>
      </w:r>
    </w:p>
    <w:p w14:paraId="2AC4F490" w14:textId="77777777" w:rsidR="000A157A" w:rsidRDefault="000A157A" w:rsidP="00426C87">
      <w:pPr>
        <w:pStyle w:val="a3"/>
        <w:spacing w:after="0"/>
        <w:rPr>
          <w:rtl/>
        </w:rPr>
      </w:pPr>
      <w:r w:rsidRPr="008D725A">
        <w:rPr>
          <w:rFonts w:hint="cs"/>
          <w:rtl/>
        </w:rPr>
        <w:t>זיסקינד, פ. (</w:t>
      </w:r>
      <w:r>
        <w:rPr>
          <w:rFonts w:hint="cs"/>
          <w:rtl/>
        </w:rPr>
        <w:t>1995</w:t>
      </w:r>
      <w:r w:rsidRPr="008D725A">
        <w:rPr>
          <w:rFonts w:hint="cs"/>
          <w:rtl/>
        </w:rPr>
        <w:t xml:space="preserve">). </w:t>
      </w:r>
      <w:r w:rsidRPr="000A157A">
        <w:rPr>
          <w:rFonts w:hint="cs"/>
          <w:i/>
          <w:iCs/>
          <w:rtl/>
        </w:rPr>
        <w:t>היונה</w:t>
      </w:r>
      <w:r w:rsidRPr="008D725A">
        <w:rPr>
          <w:rFonts w:hint="cs"/>
          <w:rtl/>
        </w:rPr>
        <w:t>. הוצאת עם עובד.</w:t>
      </w:r>
      <w:r>
        <w:rPr>
          <w:rFonts w:hint="cs"/>
          <w:rtl/>
        </w:rPr>
        <w:t xml:space="preserve"> עמ' 25-5, 60-57.</w:t>
      </w:r>
    </w:p>
    <w:p w14:paraId="60E70B08" w14:textId="77777777" w:rsidR="000A157A" w:rsidRPr="000A157A" w:rsidRDefault="000A157A" w:rsidP="000A157A">
      <w:pPr>
        <w:pStyle w:val="1"/>
        <w:shd w:val="clear" w:color="auto" w:fill="FFFFFF"/>
        <w:spacing w:before="0" w:beforeAutospacing="0"/>
        <w:rPr>
          <w:rFonts w:asciiTheme="minorBidi" w:hAnsiTheme="minorBidi" w:cstheme="minorBidi"/>
          <w:b w:val="0"/>
          <w:bCs w:val="0"/>
          <w:color w:val="111111"/>
          <w:sz w:val="22"/>
          <w:szCs w:val="22"/>
          <w:rtl/>
        </w:rPr>
      </w:pPr>
    </w:p>
    <w:p w14:paraId="1A9F2021" w14:textId="77777777" w:rsidR="00426C87" w:rsidRPr="00426C87" w:rsidRDefault="008B7448" w:rsidP="00E37AEC">
      <w:pPr>
        <w:pStyle w:val="a3"/>
        <w:numPr>
          <w:ilvl w:val="0"/>
          <w:numId w:val="1"/>
        </w:numPr>
        <w:rPr>
          <w:u w:val="single"/>
        </w:rPr>
      </w:pPr>
      <w:r w:rsidRPr="00064E1C">
        <w:rPr>
          <w:rFonts w:hint="cs"/>
          <w:b/>
          <w:bCs/>
          <w:u w:val="single"/>
          <w:rtl/>
        </w:rPr>
        <w:t>התפתחות נפשית מוקדמת ופסיכופ</w:t>
      </w:r>
      <w:r w:rsidR="00426C87">
        <w:rPr>
          <w:rFonts w:hint="cs"/>
          <w:b/>
          <w:bCs/>
          <w:u w:val="single"/>
          <w:rtl/>
        </w:rPr>
        <w:t>תולוגיה</w:t>
      </w:r>
    </w:p>
    <w:p w14:paraId="65A04CE1" w14:textId="173E5EB6" w:rsidR="00FE0C9B" w:rsidRDefault="003A222C" w:rsidP="004B3D52">
      <w:pPr>
        <w:pStyle w:val="a3"/>
        <w:rPr>
          <w:rtl/>
        </w:rPr>
      </w:pPr>
      <w:r>
        <w:rPr>
          <w:rFonts w:hint="cs"/>
          <w:u w:val="single"/>
          <w:rtl/>
        </w:rPr>
        <w:t>מצבים אוטיסטיים ופסיכוטיים</w:t>
      </w:r>
      <w:r w:rsidR="00FE0C9B">
        <w:rPr>
          <w:rFonts w:hint="cs"/>
          <w:rtl/>
        </w:rPr>
        <w:t xml:space="preserve">: </w:t>
      </w:r>
    </w:p>
    <w:p w14:paraId="51B24B19" w14:textId="77777777" w:rsidR="00885BF5" w:rsidRDefault="00885BF5" w:rsidP="00885BF5">
      <w:pPr>
        <w:pStyle w:val="a3"/>
        <w:rPr>
          <w:rtl/>
        </w:rPr>
      </w:pPr>
      <w:r w:rsidRPr="009D2EF9">
        <w:rPr>
          <w:rFonts w:hint="cs"/>
          <w:rtl/>
        </w:rPr>
        <w:t xml:space="preserve">טסטין, פ. </w:t>
      </w:r>
      <w:r>
        <w:rPr>
          <w:rFonts w:hint="cs"/>
          <w:rtl/>
        </w:rPr>
        <w:t xml:space="preserve">(1992). הבנה מחודשת של מקורות האוטיזם הפסיכוגני. בתוך: </w:t>
      </w:r>
      <w:r w:rsidRPr="00D96588">
        <w:rPr>
          <w:rFonts w:hint="cs"/>
          <w:i/>
          <w:iCs/>
          <w:rtl/>
        </w:rPr>
        <w:t>מצבים אוטיסטיים אצל ילדים: מהדורה מתוקנת</w:t>
      </w:r>
      <w:r>
        <w:rPr>
          <w:rFonts w:hint="cs"/>
          <w:rtl/>
        </w:rPr>
        <w:t xml:space="preserve">. מודן הוצאה לאור. עמ' 46 </w:t>
      </w:r>
      <w:r>
        <w:rPr>
          <w:rtl/>
        </w:rPr>
        <w:t>–</w:t>
      </w:r>
      <w:r>
        <w:rPr>
          <w:rFonts w:hint="cs"/>
          <w:rtl/>
        </w:rPr>
        <w:t xml:space="preserve"> 63.</w:t>
      </w:r>
    </w:p>
    <w:p w14:paraId="3FF7E57C" w14:textId="77777777" w:rsidR="000A157A" w:rsidRPr="008D725A" w:rsidRDefault="000A157A" w:rsidP="000A157A">
      <w:pPr>
        <w:pStyle w:val="a3"/>
        <w:rPr>
          <w:rtl/>
        </w:rPr>
      </w:pPr>
      <w:r>
        <w:rPr>
          <w:rFonts w:hint="cs"/>
          <w:rtl/>
        </w:rPr>
        <w:t xml:space="preserve">וויליאמס, ד. (1996). </w:t>
      </w:r>
      <w:r w:rsidRPr="005F33C6">
        <w:rPr>
          <w:rFonts w:hint="cs"/>
          <w:i/>
          <w:iCs/>
          <w:rtl/>
        </w:rPr>
        <w:t>אף אחד בשום מקום</w:t>
      </w:r>
      <w:r w:rsidRPr="00885BF5">
        <w:rPr>
          <w:rFonts w:hint="cs"/>
          <w:rtl/>
        </w:rPr>
        <w:t xml:space="preserve">. </w:t>
      </w:r>
      <w:r>
        <w:rPr>
          <w:rFonts w:hint="cs"/>
          <w:rtl/>
        </w:rPr>
        <w:t xml:space="preserve">ידיעות אחרונות - ספרי חמד. עמ' 21 </w:t>
      </w:r>
      <w:r>
        <w:rPr>
          <w:rtl/>
        </w:rPr>
        <w:t>–</w:t>
      </w:r>
      <w:r>
        <w:rPr>
          <w:rFonts w:hint="cs"/>
          <w:rtl/>
        </w:rPr>
        <w:t xml:space="preserve"> 23. </w:t>
      </w:r>
    </w:p>
    <w:p w14:paraId="242B9300" w14:textId="77777777" w:rsidR="006969CE" w:rsidRDefault="006969CE" w:rsidP="00885BF5">
      <w:pPr>
        <w:pStyle w:val="a3"/>
        <w:rPr>
          <w:rtl/>
        </w:rPr>
      </w:pPr>
    </w:p>
    <w:p w14:paraId="7284B469" w14:textId="437AC630" w:rsidR="004B3D52" w:rsidRDefault="004B3D52" w:rsidP="004B3D52">
      <w:pPr>
        <w:pStyle w:val="a3"/>
        <w:rPr>
          <w:rtl/>
        </w:rPr>
      </w:pPr>
      <w:r w:rsidRPr="004B3D52">
        <w:rPr>
          <w:rFonts w:hint="cs"/>
          <w:u w:val="single"/>
          <w:rtl/>
        </w:rPr>
        <w:t xml:space="preserve">פסיכוסומטיות </w:t>
      </w:r>
      <w:r w:rsidRPr="004B3D52">
        <w:rPr>
          <w:u w:val="single"/>
          <w:rtl/>
        </w:rPr>
        <w:t>–</w:t>
      </w:r>
      <w:r w:rsidRPr="004B3D52">
        <w:rPr>
          <w:rFonts w:hint="cs"/>
          <w:u w:val="single"/>
          <w:rtl/>
        </w:rPr>
        <w:t xml:space="preserve"> "אי פסיכוטי בנפש"</w:t>
      </w:r>
      <w:r>
        <w:rPr>
          <w:rFonts w:hint="cs"/>
          <w:rtl/>
        </w:rPr>
        <w:t xml:space="preserve">: </w:t>
      </w:r>
    </w:p>
    <w:p w14:paraId="680A2750" w14:textId="242B4844" w:rsidR="004B3D52" w:rsidRDefault="004B3D52" w:rsidP="004B3D52">
      <w:pPr>
        <w:pStyle w:val="a3"/>
        <w:rPr>
          <w:rtl/>
        </w:rPr>
      </w:pPr>
      <w:r>
        <w:rPr>
          <w:rFonts w:hint="cs"/>
          <w:rtl/>
        </w:rPr>
        <w:t xml:space="preserve">מקדוגל, ג'. (1982).  </w:t>
      </w:r>
      <w:r w:rsidRPr="004D0A49">
        <w:rPr>
          <w:rFonts w:hint="cs"/>
          <w:i/>
          <w:iCs/>
          <w:rtl/>
        </w:rPr>
        <w:t>תיאטרוני הגוף</w:t>
      </w:r>
      <w:r>
        <w:rPr>
          <w:rFonts w:hint="cs"/>
          <w:rtl/>
        </w:rPr>
        <w:t>. הוצאת דביר. פרק</w:t>
      </w:r>
      <w:r w:rsidR="00244523">
        <w:rPr>
          <w:rFonts w:hint="cs"/>
          <w:rtl/>
        </w:rPr>
        <w:t>ים 8 + 9</w:t>
      </w:r>
      <w:r>
        <w:rPr>
          <w:rFonts w:hint="cs"/>
          <w:rtl/>
        </w:rPr>
        <w:t xml:space="preserve">. </w:t>
      </w:r>
    </w:p>
    <w:p w14:paraId="68931BF9" w14:textId="6EA51F95" w:rsidR="004B3D52" w:rsidRDefault="004B3D52" w:rsidP="004B3D52">
      <w:pPr>
        <w:pStyle w:val="a3"/>
        <w:rPr>
          <w:rtl/>
        </w:rPr>
      </w:pPr>
      <w:r>
        <w:rPr>
          <w:rFonts w:hint="cs"/>
          <w:rtl/>
        </w:rPr>
        <w:t xml:space="preserve">הוסטוודט, ס. (2014). </w:t>
      </w:r>
      <w:r w:rsidRPr="00AA033D">
        <w:rPr>
          <w:rFonts w:hint="cs"/>
          <w:i/>
          <w:iCs/>
          <w:rtl/>
        </w:rPr>
        <w:t>האישה הרועדת: תולדות העצבים שלי.</w:t>
      </w:r>
      <w:r>
        <w:rPr>
          <w:rFonts w:hint="cs"/>
          <w:i/>
          <w:iCs/>
          <w:rtl/>
        </w:rPr>
        <w:t xml:space="preserve"> </w:t>
      </w:r>
      <w:r>
        <w:rPr>
          <w:rFonts w:hint="cs"/>
          <w:rtl/>
        </w:rPr>
        <w:t xml:space="preserve">הוצאת עם עובד. עמ' 7 </w:t>
      </w:r>
      <w:r>
        <w:rPr>
          <w:rtl/>
        </w:rPr>
        <w:t>–</w:t>
      </w:r>
      <w:r>
        <w:rPr>
          <w:rFonts w:hint="cs"/>
          <w:rtl/>
        </w:rPr>
        <w:t xml:space="preserve"> 11.</w:t>
      </w:r>
    </w:p>
    <w:p w14:paraId="4FB98832" w14:textId="77777777" w:rsidR="004B3D52" w:rsidRDefault="004B3D52" w:rsidP="004B3D52">
      <w:pPr>
        <w:pStyle w:val="a3"/>
        <w:rPr>
          <w:rtl/>
        </w:rPr>
      </w:pPr>
    </w:p>
    <w:p w14:paraId="36B32F62" w14:textId="18FA612F" w:rsidR="00FE0C9B" w:rsidRDefault="00FE0C9B" w:rsidP="00FE0C9B">
      <w:pPr>
        <w:pStyle w:val="a3"/>
        <w:rPr>
          <w:rtl/>
        </w:rPr>
      </w:pPr>
      <w:r w:rsidRPr="00252F30">
        <w:rPr>
          <w:rFonts w:hint="cs"/>
          <w:u w:val="single"/>
          <w:rtl/>
        </w:rPr>
        <w:t xml:space="preserve">פסיכופתולוגיה של </w:t>
      </w:r>
      <w:r w:rsidR="00DB7E2A">
        <w:rPr>
          <w:rFonts w:hint="cs"/>
          <w:u w:val="single"/>
          <w:rtl/>
        </w:rPr>
        <w:t>מרחב</w:t>
      </w:r>
      <w:r w:rsidR="00244523" w:rsidRPr="00252F30">
        <w:rPr>
          <w:rFonts w:hint="cs"/>
          <w:u w:val="single"/>
          <w:rtl/>
        </w:rPr>
        <w:t xml:space="preserve"> הביניים</w:t>
      </w:r>
      <w:r>
        <w:rPr>
          <w:rFonts w:hint="cs"/>
          <w:rtl/>
        </w:rPr>
        <w:t xml:space="preserve">: </w:t>
      </w:r>
    </w:p>
    <w:p w14:paraId="132D87EA" w14:textId="27F83DCA" w:rsidR="00FA099F" w:rsidRDefault="00252F30" w:rsidP="000A157A">
      <w:pPr>
        <w:pStyle w:val="a3"/>
        <w:rPr>
          <w:rtl/>
        </w:rPr>
      </w:pPr>
      <w:r w:rsidRPr="00252F30">
        <w:rPr>
          <w:rFonts w:hint="cs"/>
          <w:u w:val="single"/>
          <w:rtl/>
        </w:rPr>
        <w:t>מבוא:</w:t>
      </w:r>
      <w:r>
        <w:rPr>
          <w:rFonts w:hint="cs"/>
          <w:rtl/>
        </w:rPr>
        <w:t xml:space="preserve"> </w:t>
      </w:r>
      <w:r w:rsidR="000A157A">
        <w:rPr>
          <w:rFonts w:hint="cs"/>
          <w:rtl/>
        </w:rPr>
        <w:t>ו</w:t>
      </w:r>
      <w:r w:rsidR="00886CEC">
        <w:rPr>
          <w:rFonts w:hint="cs"/>
          <w:rtl/>
        </w:rPr>
        <w:t xml:space="preserve">יניקוט, ד.ו. (1971). אובייקטים של מעבר ותופעות מעבר. בתוך: </w:t>
      </w:r>
      <w:r w:rsidR="00886CEC" w:rsidRPr="00D96588">
        <w:rPr>
          <w:i/>
          <w:iCs/>
          <w:color w:val="000000"/>
          <w:rtl/>
        </w:rPr>
        <w:t>משחק ומציאות</w:t>
      </w:r>
      <w:r w:rsidR="00886CEC" w:rsidRPr="009D2EF9">
        <w:rPr>
          <w:color w:val="000000"/>
          <w:rtl/>
        </w:rPr>
        <w:t>. הוצאת עם עובד</w:t>
      </w:r>
      <w:r w:rsidR="00886CEC">
        <w:rPr>
          <w:rFonts w:hint="cs"/>
          <w:color w:val="000000"/>
          <w:rtl/>
        </w:rPr>
        <w:t>.</w:t>
      </w:r>
      <w:r w:rsidR="00AA7F29">
        <w:rPr>
          <w:rFonts w:hint="cs"/>
          <w:sz w:val="18"/>
          <w:szCs w:val="18"/>
          <w:rtl/>
        </w:rPr>
        <w:t xml:space="preserve"> </w:t>
      </w:r>
      <w:r w:rsidR="00AA7F29" w:rsidRPr="00AA7F29">
        <w:rPr>
          <w:rFonts w:hint="cs"/>
          <w:rtl/>
        </w:rPr>
        <w:t xml:space="preserve">עמ' 35 </w:t>
      </w:r>
      <w:r w:rsidR="00AA7F29" w:rsidRPr="00AA7F29">
        <w:rPr>
          <w:rtl/>
        </w:rPr>
        <w:t>–</w:t>
      </w:r>
      <w:r w:rsidR="00AA7F29" w:rsidRPr="00AA7F29">
        <w:rPr>
          <w:rFonts w:hint="cs"/>
          <w:rtl/>
        </w:rPr>
        <w:t xml:space="preserve"> 56.</w:t>
      </w:r>
    </w:p>
    <w:p w14:paraId="0DBEBA41" w14:textId="202CAEF3" w:rsidR="006969CE" w:rsidRDefault="00252F30" w:rsidP="00E3060F">
      <w:pPr>
        <w:pStyle w:val="a3"/>
        <w:rPr>
          <w:rtl/>
        </w:rPr>
      </w:pPr>
      <w:r w:rsidRPr="00E3060F">
        <w:rPr>
          <w:rFonts w:hint="cs"/>
          <w:u w:val="single"/>
          <w:rtl/>
        </w:rPr>
        <w:t>התמכרות</w:t>
      </w:r>
      <w:r>
        <w:rPr>
          <w:rFonts w:hint="cs"/>
          <w:rtl/>
        </w:rPr>
        <w:t xml:space="preserve">: </w:t>
      </w:r>
      <w:r w:rsidR="006969CE">
        <w:rPr>
          <w:rFonts w:hint="cs"/>
          <w:rtl/>
        </w:rPr>
        <w:t>מקדוגל,</w:t>
      </w:r>
      <w:r w:rsidR="00426C87">
        <w:rPr>
          <w:rFonts w:hint="cs"/>
          <w:rtl/>
        </w:rPr>
        <w:t xml:space="preserve"> </w:t>
      </w:r>
      <w:r w:rsidR="000A157A">
        <w:rPr>
          <w:rFonts w:hint="cs"/>
          <w:rtl/>
        </w:rPr>
        <w:t>ג'</w:t>
      </w:r>
      <w:r w:rsidR="00426C87">
        <w:rPr>
          <w:rFonts w:hint="cs"/>
          <w:rtl/>
        </w:rPr>
        <w:t>.</w:t>
      </w:r>
      <w:r w:rsidR="000A157A">
        <w:rPr>
          <w:rFonts w:hint="cs"/>
          <w:rtl/>
        </w:rPr>
        <w:t xml:space="preserve"> (1982). </w:t>
      </w:r>
      <w:r w:rsidR="00206B46" w:rsidRPr="00D725DC">
        <w:rPr>
          <w:rFonts w:hint="cs"/>
          <w:rtl/>
        </w:rPr>
        <w:t>התיאטרון המעברי והחיפוש אחרי שחקנים</w:t>
      </w:r>
      <w:r w:rsidR="00206B46" w:rsidRPr="000A157A">
        <w:rPr>
          <w:rFonts w:hint="cs"/>
          <w:i/>
          <w:iCs/>
          <w:rtl/>
        </w:rPr>
        <w:t>.</w:t>
      </w:r>
      <w:r w:rsidR="00206B46">
        <w:rPr>
          <w:rFonts w:hint="cs"/>
          <w:rtl/>
        </w:rPr>
        <w:t xml:space="preserve"> </w:t>
      </w:r>
      <w:r w:rsidR="002059D1">
        <w:rPr>
          <w:rFonts w:hint="cs"/>
          <w:rtl/>
        </w:rPr>
        <w:t>ב</w:t>
      </w:r>
      <w:r w:rsidR="000A157A">
        <w:rPr>
          <w:rFonts w:hint="cs"/>
          <w:rtl/>
        </w:rPr>
        <w:t xml:space="preserve">תוך: </w:t>
      </w:r>
      <w:r w:rsidR="000A157A" w:rsidRPr="00D725DC">
        <w:rPr>
          <w:rFonts w:hint="cs"/>
          <w:i/>
          <w:iCs/>
          <w:rtl/>
        </w:rPr>
        <w:t>תיאטרוני הנפש</w:t>
      </w:r>
      <w:r w:rsidR="000A157A">
        <w:rPr>
          <w:rFonts w:hint="cs"/>
          <w:rtl/>
        </w:rPr>
        <w:t xml:space="preserve">. הוצאת דביר. עמ' </w:t>
      </w:r>
      <w:r w:rsidR="00426C87">
        <w:rPr>
          <w:rFonts w:hint="cs"/>
          <w:rtl/>
        </w:rPr>
        <w:t xml:space="preserve">80 </w:t>
      </w:r>
      <w:r w:rsidR="00426C87">
        <w:rPr>
          <w:rtl/>
        </w:rPr>
        <w:t>–</w:t>
      </w:r>
      <w:r w:rsidR="00426C87">
        <w:rPr>
          <w:rFonts w:hint="cs"/>
          <w:rtl/>
        </w:rPr>
        <w:t xml:space="preserve"> 95.</w:t>
      </w:r>
    </w:p>
    <w:p w14:paraId="68FBFAFF" w14:textId="77777777" w:rsidR="00064E1C" w:rsidRDefault="00AA033D" w:rsidP="000A157A">
      <w:pPr>
        <w:pStyle w:val="a3"/>
        <w:rPr>
          <w:rtl/>
        </w:rPr>
      </w:pPr>
      <w:r>
        <w:rPr>
          <w:rFonts w:hint="cs"/>
          <w:rtl/>
        </w:rPr>
        <w:t xml:space="preserve">וואלאס, </w:t>
      </w:r>
      <w:r w:rsidR="0056433F">
        <w:rPr>
          <w:rFonts w:hint="cs"/>
          <w:rtl/>
        </w:rPr>
        <w:t xml:space="preserve">(1999). </w:t>
      </w:r>
      <w:r>
        <w:rPr>
          <w:rFonts w:hint="cs"/>
          <w:rtl/>
        </w:rPr>
        <w:t xml:space="preserve">הנפש הדיכאונית. מתוך: </w:t>
      </w:r>
      <w:r w:rsidRPr="00BB4552">
        <w:rPr>
          <w:rFonts w:hint="cs"/>
          <w:i/>
          <w:iCs/>
          <w:rtl/>
        </w:rPr>
        <w:t>ראיונות קצרים עם גברים נתעבים</w:t>
      </w:r>
      <w:r>
        <w:rPr>
          <w:rFonts w:hint="cs"/>
          <w:rtl/>
        </w:rPr>
        <w:t xml:space="preserve">. </w:t>
      </w:r>
      <w:r w:rsidR="00BB4552">
        <w:rPr>
          <w:rFonts w:hint="cs"/>
          <w:rtl/>
        </w:rPr>
        <w:t>ספרית פועלים.</w:t>
      </w:r>
    </w:p>
    <w:p w14:paraId="01466D28" w14:textId="003467B0" w:rsidR="00E823F8" w:rsidRDefault="00E3060F" w:rsidP="00E3060F">
      <w:pPr>
        <w:pStyle w:val="a3"/>
        <w:rPr>
          <w:rtl/>
        </w:rPr>
      </w:pPr>
      <w:r w:rsidRPr="00E3060F">
        <w:rPr>
          <w:rFonts w:hint="cs"/>
          <w:u w:val="single"/>
          <w:rtl/>
        </w:rPr>
        <w:t>עבריינות:</w:t>
      </w:r>
      <w:r>
        <w:rPr>
          <w:rFonts w:hint="cs"/>
          <w:rtl/>
        </w:rPr>
        <w:t xml:space="preserve"> </w:t>
      </w:r>
      <w:r w:rsidR="00E823F8">
        <w:rPr>
          <w:rFonts w:hint="cs"/>
          <w:rtl/>
        </w:rPr>
        <w:t xml:space="preserve">ויניקוט, ד.ו. (1956). הנטייה האנטי חברתית. בתוך: </w:t>
      </w:r>
      <w:r w:rsidR="00E823F8" w:rsidRPr="00D725DC">
        <w:rPr>
          <w:rFonts w:hint="cs"/>
          <w:i/>
          <w:iCs/>
          <w:rtl/>
        </w:rPr>
        <w:t>חסך ועבריינות</w:t>
      </w:r>
      <w:r w:rsidR="00E823F8">
        <w:rPr>
          <w:rFonts w:hint="cs"/>
          <w:rtl/>
        </w:rPr>
        <w:t xml:space="preserve">, עמ' 208 </w:t>
      </w:r>
      <w:r w:rsidR="00E823F8">
        <w:rPr>
          <w:rtl/>
        </w:rPr>
        <w:t>–</w:t>
      </w:r>
      <w:r w:rsidR="00E823F8">
        <w:rPr>
          <w:rFonts w:hint="cs"/>
          <w:rtl/>
        </w:rPr>
        <w:t xml:space="preserve"> 218.</w:t>
      </w:r>
    </w:p>
    <w:p w14:paraId="05D639A1" w14:textId="757A71BF" w:rsidR="00E823F8" w:rsidRDefault="00E823F8" w:rsidP="00E823F8">
      <w:pPr>
        <w:pStyle w:val="a3"/>
        <w:rPr>
          <w:rtl/>
        </w:rPr>
      </w:pPr>
      <w:r>
        <w:rPr>
          <w:rFonts w:hint="cs"/>
          <w:rtl/>
        </w:rPr>
        <w:t xml:space="preserve">טיקה, א. (1993). </w:t>
      </w:r>
      <w:r w:rsidRPr="00426C87">
        <w:rPr>
          <w:rFonts w:hint="cs"/>
          <w:i/>
          <w:iCs/>
          <w:rtl/>
        </w:rPr>
        <w:t>שיבת הבן</w:t>
      </w:r>
      <w:r>
        <w:rPr>
          <w:rFonts w:hint="cs"/>
          <w:rtl/>
        </w:rPr>
        <w:t xml:space="preserve">. הוצאת כרמל. עמ' 18 </w:t>
      </w:r>
      <w:r>
        <w:rPr>
          <w:rtl/>
        </w:rPr>
        <w:t>–</w:t>
      </w:r>
      <w:r>
        <w:rPr>
          <w:rFonts w:hint="cs"/>
          <w:rtl/>
        </w:rPr>
        <w:t xml:space="preserve"> 23.</w:t>
      </w:r>
    </w:p>
    <w:p w14:paraId="1F8DF123" w14:textId="77777777" w:rsidR="007501FA" w:rsidRDefault="007501FA" w:rsidP="00DF3A00">
      <w:pPr>
        <w:pStyle w:val="a3"/>
        <w:rPr>
          <w:u w:val="single"/>
          <w:rtl/>
        </w:rPr>
      </w:pPr>
    </w:p>
    <w:p w14:paraId="3916FB4D" w14:textId="77777777" w:rsidR="007501FA" w:rsidRDefault="007501FA" w:rsidP="00DF3A00">
      <w:pPr>
        <w:pStyle w:val="a3"/>
        <w:rPr>
          <w:rtl/>
        </w:rPr>
      </w:pPr>
      <w:r>
        <w:rPr>
          <w:rFonts w:hint="cs"/>
          <w:u w:val="single"/>
          <w:rtl/>
        </w:rPr>
        <w:t>המצבים ה</w:t>
      </w:r>
      <w:r w:rsidR="001D552E" w:rsidRPr="00DF3A00">
        <w:rPr>
          <w:rFonts w:hint="cs"/>
          <w:u w:val="single"/>
          <w:rtl/>
        </w:rPr>
        <w:t>פרוור</w:t>
      </w:r>
      <w:r>
        <w:rPr>
          <w:rFonts w:hint="cs"/>
          <w:u w:val="single"/>
          <w:rtl/>
        </w:rPr>
        <w:t>טיים</w:t>
      </w:r>
      <w:r w:rsidR="001D552E" w:rsidRPr="00DF3A00">
        <w:rPr>
          <w:rFonts w:hint="cs"/>
          <w:u w:val="single"/>
          <w:rtl/>
        </w:rPr>
        <w:t>:</w:t>
      </w:r>
      <w:r w:rsidR="00DF3A00" w:rsidRPr="00DF3A00">
        <w:rPr>
          <w:rFonts w:hint="cs"/>
          <w:rtl/>
        </w:rPr>
        <w:t xml:space="preserve"> </w:t>
      </w:r>
    </w:p>
    <w:p w14:paraId="6D1B7D79" w14:textId="2D733DCF" w:rsidR="00D23131" w:rsidRDefault="001B138C" w:rsidP="00DF3A00">
      <w:pPr>
        <w:pStyle w:val="a3"/>
        <w:rPr>
          <w:rtl/>
        </w:rPr>
      </w:pPr>
      <w:r>
        <w:rPr>
          <w:rFonts w:hint="cs"/>
          <w:rtl/>
        </w:rPr>
        <w:t xml:space="preserve">שטיינר, ג'. (1992). היחס למציאות </w:t>
      </w:r>
      <w:r w:rsidR="003E2C02">
        <w:rPr>
          <w:rFonts w:hint="cs"/>
          <w:rtl/>
        </w:rPr>
        <w:t>מ</w:t>
      </w:r>
      <w:r>
        <w:rPr>
          <w:rFonts w:hint="cs"/>
          <w:rtl/>
        </w:rPr>
        <w:t>תוך המסתור הנפשי</w:t>
      </w:r>
      <w:r w:rsidR="00D23131">
        <w:rPr>
          <w:rFonts w:hint="cs"/>
          <w:rtl/>
        </w:rPr>
        <w:t xml:space="preserve">. </w:t>
      </w:r>
      <w:r w:rsidR="007C3999">
        <w:rPr>
          <w:rFonts w:hint="cs"/>
          <w:rtl/>
        </w:rPr>
        <w:t xml:space="preserve">בתוך: </w:t>
      </w:r>
      <w:r w:rsidR="007C3999" w:rsidRPr="00AA033D">
        <w:rPr>
          <w:rFonts w:hint="cs"/>
          <w:i/>
          <w:iCs/>
          <w:rtl/>
        </w:rPr>
        <w:t>מסתורים נפשיים: ארגונים פתולוגיים במטופלים פסיכוטיים, נוירוטיים וגבוליים</w:t>
      </w:r>
      <w:r w:rsidR="007C3999">
        <w:rPr>
          <w:rFonts w:hint="cs"/>
          <w:rtl/>
        </w:rPr>
        <w:t xml:space="preserve">. הוצאת תולעת ספרים. פרק </w:t>
      </w:r>
      <w:r w:rsidR="00E41C9B">
        <w:rPr>
          <w:rFonts w:hint="cs"/>
          <w:rtl/>
        </w:rPr>
        <w:t>8</w:t>
      </w:r>
      <w:r w:rsidR="007C3999">
        <w:rPr>
          <w:rFonts w:hint="cs"/>
          <w:rtl/>
        </w:rPr>
        <w:t xml:space="preserve">, עמ' </w:t>
      </w:r>
      <w:r w:rsidR="003E2C02">
        <w:rPr>
          <w:rFonts w:hint="cs"/>
          <w:rtl/>
        </w:rPr>
        <w:t>127-144.</w:t>
      </w:r>
      <w:r w:rsidR="007C3999">
        <w:rPr>
          <w:rFonts w:hint="cs"/>
          <w:rtl/>
        </w:rPr>
        <w:t xml:space="preserve"> </w:t>
      </w:r>
    </w:p>
    <w:p w14:paraId="527C5884" w14:textId="7A53A026" w:rsidR="00E3060F" w:rsidRDefault="00DF3A00" w:rsidP="00DF3A00">
      <w:pPr>
        <w:pStyle w:val="a3"/>
        <w:rPr>
          <w:rtl/>
        </w:rPr>
      </w:pPr>
      <w:r w:rsidRPr="00DF3A00">
        <w:rPr>
          <w:rFonts w:hint="cs"/>
          <w:rtl/>
        </w:rPr>
        <w:t xml:space="preserve">חאן, </w:t>
      </w:r>
      <w:r w:rsidR="001D552E" w:rsidRPr="00DF3A00">
        <w:rPr>
          <w:rFonts w:hint="cs"/>
          <w:rtl/>
        </w:rPr>
        <w:t xml:space="preserve"> </w:t>
      </w:r>
      <w:r w:rsidR="005A73FF">
        <w:rPr>
          <w:rFonts w:hint="cs"/>
          <w:rtl/>
        </w:rPr>
        <w:t>מ. (1979)</w:t>
      </w:r>
      <w:r w:rsidR="00411C74">
        <w:rPr>
          <w:rFonts w:hint="cs"/>
          <w:rtl/>
        </w:rPr>
        <w:t xml:space="preserve">. היחס לעצמי כאוביקט </w:t>
      </w:r>
      <w:r w:rsidR="004D545A">
        <w:rPr>
          <w:rFonts w:hint="cs"/>
          <w:rtl/>
        </w:rPr>
        <w:t>פנימי מואלל. בתוך:</w:t>
      </w:r>
      <w:r w:rsidR="00E42AAA">
        <w:rPr>
          <w:rFonts w:hint="cs"/>
          <w:rtl/>
        </w:rPr>
        <w:t xml:space="preserve"> חאן,</w:t>
      </w:r>
      <w:r w:rsidR="004D545A">
        <w:rPr>
          <w:rFonts w:hint="cs"/>
          <w:rtl/>
        </w:rPr>
        <w:t xml:space="preserve"> מבחר כתבים</w:t>
      </w:r>
      <w:r w:rsidR="00E42AAA">
        <w:rPr>
          <w:rFonts w:hint="cs"/>
          <w:rtl/>
        </w:rPr>
        <w:t>, עמ'</w:t>
      </w:r>
      <w:r w:rsidR="00AE7CA1">
        <w:rPr>
          <w:rFonts w:hint="cs"/>
          <w:rtl/>
        </w:rPr>
        <w:t xml:space="preserve"> 83 </w:t>
      </w:r>
      <w:r w:rsidR="00AE7CA1">
        <w:rPr>
          <w:rtl/>
        </w:rPr>
        <w:t>–</w:t>
      </w:r>
      <w:r w:rsidR="00AE7CA1">
        <w:rPr>
          <w:rFonts w:hint="cs"/>
          <w:rtl/>
        </w:rPr>
        <w:t xml:space="preserve"> 90.</w:t>
      </w:r>
    </w:p>
    <w:p w14:paraId="7533DCDE" w14:textId="61AD35A5" w:rsidR="008A67DB" w:rsidRDefault="008A67DB" w:rsidP="00DF3A00">
      <w:pPr>
        <w:pStyle w:val="a3"/>
        <w:rPr>
          <w:u w:val="single"/>
          <w:rtl/>
        </w:rPr>
      </w:pPr>
    </w:p>
    <w:p w14:paraId="4CEFE4AA" w14:textId="6037F5EF" w:rsidR="008A67DB" w:rsidRPr="00DF3A00" w:rsidRDefault="008A67DB" w:rsidP="00DF3A00">
      <w:pPr>
        <w:pStyle w:val="a3"/>
        <w:rPr>
          <w:u w:val="single"/>
          <w:rtl/>
        </w:rPr>
      </w:pPr>
    </w:p>
    <w:sectPr w:rsidR="008A67DB" w:rsidRPr="00DF3A00" w:rsidSect="00F608CB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B683E"/>
    <w:multiLevelType w:val="hybridMultilevel"/>
    <w:tmpl w:val="51D24BF6"/>
    <w:lvl w:ilvl="0" w:tplc="9CFAC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AF"/>
    <w:rsid w:val="00056D25"/>
    <w:rsid w:val="00064E1C"/>
    <w:rsid w:val="000906B6"/>
    <w:rsid w:val="000A157A"/>
    <w:rsid w:val="000C5B10"/>
    <w:rsid w:val="00193A95"/>
    <w:rsid w:val="001A537F"/>
    <w:rsid w:val="001B138C"/>
    <w:rsid w:val="001D552E"/>
    <w:rsid w:val="002059D1"/>
    <w:rsid w:val="00206B46"/>
    <w:rsid w:val="002228EF"/>
    <w:rsid w:val="002366A4"/>
    <w:rsid w:val="00244523"/>
    <w:rsid w:val="00252683"/>
    <w:rsid w:val="00252F30"/>
    <w:rsid w:val="002A0146"/>
    <w:rsid w:val="003A222C"/>
    <w:rsid w:val="003E2C02"/>
    <w:rsid w:val="00411C74"/>
    <w:rsid w:val="004127AD"/>
    <w:rsid w:val="00426C87"/>
    <w:rsid w:val="00461C99"/>
    <w:rsid w:val="00474CFD"/>
    <w:rsid w:val="004B3D52"/>
    <w:rsid w:val="004D0A49"/>
    <w:rsid w:val="004D545A"/>
    <w:rsid w:val="0056433F"/>
    <w:rsid w:val="005A73FF"/>
    <w:rsid w:val="005F33C6"/>
    <w:rsid w:val="00613137"/>
    <w:rsid w:val="0066197D"/>
    <w:rsid w:val="006969CE"/>
    <w:rsid w:val="007501FA"/>
    <w:rsid w:val="00750629"/>
    <w:rsid w:val="0078046D"/>
    <w:rsid w:val="00780FCE"/>
    <w:rsid w:val="007C3999"/>
    <w:rsid w:val="008322B7"/>
    <w:rsid w:val="00885BF5"/>
    <w:rsid w:val="00886CEC"/>
    <w:rsid w:val="008A67DB"/>
    <w:rsid w:val="008B7448"/>
    <w:rsid w:val="008D725A"/>
    <w:rsid w:val="008D7D41"/>
    <w:rsid w:val="00960673"/>
    <w:rsid w:val="009922C6"/>
    <w:rsid w:val="009D2EF9"/>
    <w:rsid w:val="009E7410"/>
    <w:rsid w:val="00AA033D"/>
    <w:rsid w:val="00AA7F29"/>
    <w:rsid w:val="00AE7CA1"/>
    <w:rsid w:val="00B25DE4"/>
    <w:rsid w:val="00B86782"/>
    <w:rsid w:val="00BB4552"/>
    <w:rsid w:val="00BC1A64"/>
    <w:rsid w:val="00C536AF"/>
    <w:rsid w:val="00C61E83"/>
    <w:rsid w:val="00D23131"/>
    <w:rsid w:val="00D331BD"/>
    <w:rsid w:val="00D725DC"/>
    <w:rsid w:val="00D96588"/>
    <w:rsid w:val="00DB7E2A"/>
    <w:rsid w:val="00DD7434"/>
    <w:rsid w:val="00DF3A00"/>
    <w:rsid w:val="00E04165"/>
    <w:rsid w:val="00E3060F"/>
    <w:rsid w:val="00E41C9B"/>
    <w:rsid w:val="00E42AAA"/>
    <w:rsid w:val="00E823F8"/>
    <w:rsid w:val="00EC1BE1"/>
    <w:rsid w:val="00F243E6"/>
    <w:rsid w:val="00F315B7"/>
    <w:rsid w:val="00F340AF"/>
    <w:rsid w:val="00F608CB"/>
    <w:rsid w:val="00FA099F"/>
    <w:rsid w:val="00FC75C4"/>
    <w:rsid w:val="00F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BB61"/>
  <w15:chartTrackingRefBased/>
  <w15:docId w15:val="{737F4ECD-C9EF-4C87-B08C-6249B0CC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8B744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6AF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8B74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a0"/>
    <w:rsid w:val="008B7448"/>
  </w:style>
  <w:style w:type="paragraph" w:styleId="a4">
    <w:name w:val="Intense Quote"/>
    <w:basedOn w:val="a"/>
    <w:next w:val="a"/>
    <w:link w:val="a5"/>
    <w:uiPriority w:val="30"/>
    <w:qFormat/>
    <w:rsid w:val="008D725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ציטוט חזק תו"/>
    <w:basedOn w:val="a0"/>
    <w:link w:val="a4"/>
    <w:uiPriority w:val="30"/>
    <w:rsid w:val="008D725A"/>
    <w:rPr>
      <w:i/>
      <w:iCs/>
      <w:color w:val="5B9BD5" w:themeColor="accent1"/>
    </w:rPr>
  </w:style>
  <w:style w:type="character" w:styleId="a6">
    <w:name w:val="Intense Emphasis"/>
    <w:basedOn w:val="a0"/>
    <w:uiPriority w:val="21"/>
    <w:qFormat/>
    <w:rsid w:val="008D725A"/>
    <w:rPr>
      <w:i/>
      <w:iCs/>
      <w:color w:val="5B9BD5" w:themeColor="accent1"/>
    </w:rPr>
  </w:style>
  <w:style w:type="character" w:styleId="a7">
    <w:name w:val="Strong"/>
    <w:basedOn w:val="a0"/>
    <w:uiPriority w:val="22"/>
    <w:qFormat/>
    <w:rsid w:val="008D725A"/>
    <w:rPr>
      <w:b/>
      <w:bCs/>
    </w:rPr>
  </w:style>
  <w:style w:type="paragraph" w:styleId="a8">
    <w:name w:val="Quote"/>
    <w:basedOn w:val="a"/>
    <w:next w:val="a"/>
    <w:link w:val="a9"/>
    <w:uiPriority w:val="29"/>
    <w:qFormat/>
    <w:rsid w:val="008D72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9">
    <w:name w:val="ציטוט תו"/>
    <w:basedOn w:val="a0"/>
    <w:link w:val="a8"/>
    <w:uiPriority w:val="29"/>
    <w:rsid w:val="008D725A"/>
    <w:rPr>
      <w:i/>
      <w:iCs/>
      <w:color w:val="404040" w:themeColor="text1" w:themeTint="BF"/>
    </w:rPr>
  </w:style>
  <w:style w:type="character" w:styleId="Hyperlink">
    <w:name w:val="Hyperlink"/>
    <w:basedOn w:val="a0"/>
    <w:uiPriority w:val="99"/>
    <w:unhideWhenUsed/>
    <w:rsid w:val="009E7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shadach</dc:creator>
  <cp:keywords/>
  <dc:description/>
  <cp:lastModifiedBy>מרכז ויניקוט בישראל</cp:lastModifiedBy>
  <cp:revision>2</cp:revision>
  <dcterms:created xsi:type="dcterms:W3CDTF">2020-10-15T16:45:00Z</dcterms:created>
  <dcterms:modified xsi:type="dcterms:W3CDTF">2020-10-15T16:45:00Z</dcterms:modified>
</cp:coreProperties>
</file>